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BE45" w14:textId="77777777" w:rsidR="004B61BF" w:rsidRDefault="00620B44">
      <w:pPr>
        <w:spacing w:after="95"/>
        <w:ind w:left="158"/>
        <w:jc w:val="center"/>
      </w:pPr>
      <w:r>
        <w:rPr>
          <w:noProof/>
        </w:rPr>
        <w:drawing>
          <wp:inline distT="0" distB="0" distL="0" distR="0" wp14:anchorId="74142DEC" wp14:editId="4532B570">
            <wp:extent cx="3539363" cy="1960880"/>
            <wp:effectExtent l="0" t="0" r="0" b="0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9363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0364D29" w14:textId="77777777" w:rsidR="004B61BF" w:rsidRDefault="00620B44">
      <w:pPr>
        <w:spacing w:after="210"/>
        <w:ind w:left="161"/>
        <w:jc w:val="center"/>
      </w:pPr>
      <w:r>
        <w:t xml:space="preserve"> </w:t>
      </w:r>
    </w:p>
    <w:p w14:paraId="4E3AED8B" w14:textId="77777777" w:rsidR="004B61BF" w:rsidRPr="004B2FF0" w:rsidRDefault="00620B44">
      <w:pPr>
        <w:spacing w:after="0"/>
        <w:rPr>
          <w:rFonts w:ascii="Aptos" w:hAnsi="Aptos"/>
        </w:rPr>
      </w:pPr>
      <w:r w:rsidRPr="004B2FF0">
        <w:rPr>
          <w:rFonts w:ascii="Aptos" w:eastAsia="Candara" w:hAnsi="Aptos" w:cs="Candara"/>
          <w:b/>
          <w:color w:val="585858"/>
          <w:sz w:val="28"/>
        </w:rPr>
        <w:t>Agenda</w:t>
      </w:r>
      <w:r w:rsidRPr="004B2FF0">
        <w:rPr>
          <w:rFonts w:ascii="Aptos" w:eastAsia="Candara" w:hAnsi="Aptos" w:cs="Candara"/>
          <w:b/>
          <w:sz w:val="28"/>
        </w:rPr>
        <w:t xml:space="preserve"> </w:t>
      </w:r>
    </w:p>
    <w:p w14:paraId="45B7CA8F" w14:textId="77777777" w:rsidR="004B61BF" w:rsidRPr="004B2FF0" w:rsidRDefault="00620B44">
      <w:pPr>
        <w:spacing w:after="145"/>
        <w:rPr>
          <w:rFonts w:ascii="Aptos" w:hAnsi="Aptos"/>
        </w:rPr>
      </w:pPr>
      <w:r w:rsidRPr="004B2FF0">
        <w:rPr>
          <w:rFonts w:ascii="Aptos" w:hAnsi="Aptos"/>
          <w:b/>
          <w:color w:val="585858"/>
        </w:rPr>
        <w:t xml:space="preserve"> </w:t>
      </w:r>
    </w:p>
    <w:p w14:paraId="36E29A5B" w14:textId="6FBDB322" w:rsidR="004B61BF" w:rsidRPr="004B2FF0" w:rsidRDefault="00894A75">
      <w:pPr>
        <w:spacing w:after="159"/>
        <w:ind w:left="-5" w:hanging="10"/>
        <w:rPr>
          <w:rFonts w:ascii="Aptos" w:hAnsi="Aptos"/>
        </w:rPr>
      </w:pPr>
      <w:r w:rsidRPr="004B2FF0">
        <w:rPr>
          <w:rFonts w:ascii="Aptos" w:hAnsi="Aptos"/>
          <w:b/>
          <w:color w:val="585858"/>
        </w:rPr>
        <w:t xml:space="preserve">November 19, 2025, 2:00 p.m. – 3:30 p.m. </w:t>
      </w:r>
      <w:r w:rsidR="00620B44" w:rsidRPr="004B2FF0">
        <w:rPr>
          <w:rFonts w:ascii="Aptos" w:hAnsi="Aptos"/>
          <w:b/>
        </w:rPr>
        <w:t xml:space="preserve"> </w:t>
      </w:r>
    </w:p>
    <w:p w14:paraId="2E4856B2" w14:textId="77777777" w:rsidR="004B61BF" w:rsidRPr="004B2FF0" w:rsidRDefault="00620B44">
      <w:pPr>
        <w:spacing w:after="261"/>
        <w:ind w:left="-5" w:hanging="10"/>
        <w:rPr>
          <w:rFonts w:ascii="Aptos" w:hAnsi="Aptos"/>
        </w:rPr>
      </w:pPr>
      <w:r w:rsidRPr="004B2FF0">
        <w:rPr>
          <w:rFonts w:ascii="Aptos" w:hAnsi="Aptos"/>
          <w:b/>
          <w:color w:val="585858"/>
        </w:rPr>
        <w:t>James Kirkpatrick Building, 600 West Main St., Jefferson City, MO; Room 139</w:t>
      </w:r>
      <w:r w:rsidRPr="004B2FF0">
        <w:rPr>
          <w:rFonts w:ascii="Aptos" w:hAnsi="Aptos"/>
          <w:b/>
        </w:rPr>
        <w:t xml:space="preserve"> </w:t>
      </w:r>
    </w:p>
    <w:p w14:paraId="2832C900" w14:textId="77777777" w:rsidR="004B61BF" w:rsidRPr="004B2FF0" w:rsidRDefault="00620B44">
      <w:pPr>
        <w:spacing w:after="5"/>
        <w:ind w:left="-5" w:hanging="10"/>
        <w:rPr>
          <w:rFonts w:ascii="Aptos" w:hAnsi="Aptos"/>
        </w:rPr>
      </w:pPr>
      <w:r w:rsidRPr="004B2FF0">
        <w:rPr>
          <w:rFonts w:ascii="Aptos" w:eastAsia="Candara" w:hAnsi="Aptos" w:cs="Candara"/>
          <w:b/>
          <w:u w:val="single" w:color="000000"/>
        </w:rPr>
        <w:t>GENERAL BUSINESS</w:t>
      </w:r>
      <w:r w:rsidRPr="004B2FF0">
        <w:rPr>
          <w:rFonts w:ascii="Aptos" w:eastAsia="Candara" w:hAnsi="Aptos" w:cs="Candara"/>
          <w:b/>
        </w:rPr>
        <w:t xml:space="preserve"> </w:t>
      </w:r>
    </w:p>
    <w:p w14:paraId="3F55D2C7" w14:textId="77777777" w:rsidR="004B61BF" w:rsidRPr="004B2FF0" w:rsidRDefault="00620B44">
      <w:pPr>
        <w:spacing w:after="0"/>
        <w:ind w:left="45" w:hanging="10"/>
        <w:rPr>
          <w:rFonts w:ascii="Aptos" w:hAnsi="Aptos"/>
        </w:rPr>
      </w:pPr>
      <w:r w:rsidRPr="004B2FF0">
        <w:rPr>
          <w:rFonts w:ascii="Aptos" w:eastAsia="Candara" w:hAnsi="Aptos" w:cs="Candara"/>
        </w:rPr>
        <w:t>1.</w:t>
      </w:r>
      <w:r w:rsidRPr="004B2FF0">
        <w:rPr>
          <w:rFonts w:ascii="Aptos" w:eastAsia="Arial" w:hAnsi="Aptos" w:cs="Arial"/>
        </w:rPr>
        <w:t xml:space="preserve"> </w:t>
      </w:r>
      <w:r w:rsidRPr="004B2FF0">
        <w:rPr>
          <w:rFonts w:ascii="Aptos" w:eastAsia="Candara" w:hAnsi="Aptos" w:cs="Candara"/>
        </w:rPr>
        <w:t xml:space="preserve">Welcome &amp; Introductions - John Laurent, CIO, OA ITSD </w:t>
      </w:r>
    </w:p>
    <w:p w14:paraId="5A83E499" w14:textId="77777777" w:rsidR="004B61BF" w:rsidRPr="004B2FF0" w:rsidRDefault="00620B44">
      <w:pPr>
        <w:spacing w:after="0"/>
        <w:rPr>
          <w:rFonts w:ascii="Aptos" w:hAnsi="Aptos"/>
        </w:rPr>
      </w:pPr>
      <w:r w:rsidRPr="004B2FF0">
        <w:rPr>
          <w:rFonts w:ascii="Aptos" w:eastAsia="Candara" w:hAnsi="Aptos" w:cs="Candara"/>
        </w:rPr>
        <w:t xml:space="preserve"> </w:t>
      </w:r>
    </w:p>
    <w:p w14:paraId="10E5A64A" w14:textId="77777777" w:rsidR="004B61BF" w:rsidRPr="004B2FF0" w:rsidRDefault="00620B44">
      <w:pPr>
        <w:pStyle w:val="Heading1"/>
        <w:ind w:left="-5"/>
        <w:rPr>
          <w:rFonts w:ascii="Aptos" w:hAnsi="Aptos"/>
        </w:rPr>
      </w:pPr>
      <w:r w:rsidRPr="004B2FF0">
        <w:rPr>
          <w:rFonts w:ascii="Aptos" w:hAnsi="Aptos"/>
        </w:rPr>
        <w:t>REPORTS</w:t>
      </w:r>
      <w:r w:rsidRPr="004B2FF0">
        <w:rPr>
          <w:rFonts w:ascii="Aptos" w:hAnsi="Aptos"/>
          <w:u w:val="none"/>
        </w:rPr>
        <w:t xml:space="preserve"> </w:t>
      </w:r>
    </w:p>
    <w:p w14:paraId="180A45D1" w14:textId="77777777" w:rsidR="00BE0C79" w:rsidRPr="004B2FF0" w:rsidRDefault="00620B44" w:rsidP="00BE0C79">
      <w:pPr>
        <w:numPr>
          <w:ilvl w:val="0"/>
          <w:numId w:val="1"/>
        </w:numPr>
        <w:spacing w:after="0"/>
        <w:ind w:left="445" w:hanging="410"/>
        <w:rPr>
          <w:rFonts w:ascii="Aptos" w:hAnsi="Aptos"/>
        </w:rPr>
      </w:pPr>
      <w:r w:rsidRPr="004B2FF0">
        <w:rPr>
          <w:rFonts w:ascii="Aptos" w:eastAsia="Candara" w:hAnsi="Aptos" w:cs="Candara"/>
        </w:rPr>
        <w:t xml:space="preserve">AI </w:t>
      </w:r>
      <w:r w:rsidR="00894A75" w:rsidRPr="004B2FF0">
        <w:rPr>
          <w:rFonts w:ascii="Aptos" w:eastAsia="Candara" w:hAnsi="Aptos" w:cs="Candara"/>
        </w:rPr>
        <w:t xml:space="preserve">Code Assist </w:t>
      </w:r>
      <w:r w:rsidRPr="004B2FF0">
        <w:rPr>
          <w:rFonts w:ascii="Aptos" w:eastAsia="Candara" w:hAnsi="Aptos" w:cs="Candara"/>
        </w:rPr>
        <w:t xml:space="preserve">– </w:t>
      </w:r>
      <w:r w:rsidR="00894A75" w:rsidRPr="004B2FF0">
        <w:rPr>
          <w:rFonts w:ascii="Aptos" w:eastAsia="Candara" w:hAnsi="Aptos" w:cs="Candara"/>
        </w:rPr>
        <w:t>Stephanie Brooks, Chief of Business Systems Development</w:t>
      </w:r>
      <w:r w:rsidRPr="004B2FF0">
        <w:rPr>
          <w:rFonts w:ascii="Aptos" w:eastAsia="Candara" w:hAnsi="Aptos" w:cs="Candara"/>
        </w:rPr>
        <w:t xml:space="preserve">, OA ITSD </w:t>
      </w:r>
    </w:p>
    <w:p w14:paraId="6663CC30" w14:textId="5A7C4A84" w:rsidR="004B61BF" w:rsidRPr="004B2FF0" w:rsidRDefault="00034092" w:rsidP="00BE0C79">
      <w:pPr>
        <w:numPr>
          <w:ilvl w:val="0"/>
          <w:numId w:val="1"/>
        </w:numPr>
        <w:spacing w:after="0"/>
        <w:ind w:left="445" w:hanging="410"/>
        <w:rPr>
          <w:rFonts w:ascii="Aptos" w:hAnsi="Aptos"/>
        </w:rPr>
      </w:pPr>
      <w:r w:rsidRPr="004B2FF0">
        <w:rPr>
          <w:rFonts w:ascii="Aptos" w:hAnsi="Aptos"/>
        </w:rPr>
        <w:t>Directed AI Roundtable</w:t>
      </w:r>
      <w:r w:rsidR="001D719D" w:rsidRPr="004B2FF0">
        <w:rPr>
          <w:rFonts w:ascii="Aptos" w:hAnsi="Aptos"/>
        </w:rPr>
        <w:t xml:space="preserve"> – Jeff Coiner, CIO</w:t>
      </w:r>
      <w:r w:rsidR="00095F83" w:rsidRPr="004B2FF0">
        <w:rPr>
          <w:rFonts w:ascii="Aptos" w:hAnsi="Aptos"/>
        </w:rPr>
        <w:t>,</w:t>
      </w:r>
      <w:r w:rsidR="001D719D" w:rsidRPr="004B2FF0">
        <w:rPr>
          <w:rFonts w:ascii="Aptos" w:hAnsi="Aptos"/>
        </w:rPr>
        <w:t xml:space="preserve"> Missouri State University</w:t>
      </w:r>
      <w:r w:rsidR="00894A75" w:rsidRPr="004B2FF0">
        <w:rPr>
          <w:rFonts w:ascii="Aptos" w:hAnsi="Aptos"/>
        </w:rPr>
        <w:t xml:space="preserve">     </w:t>
      </w:r>
    </w:p>
    <w:p w14:paraId="1D9D331E" w14:textId="77777777" w:rsidR="004B61BF" w:rsidRPr="004B2FF0" w:rsidRDefault="00620B44">
      <w:pPr>
        <w:spacing w:after="0"/>
        <w:rPr>
          <w:rFonts w:ascii="Aptos" w:hAnsi="Aptos"/>
        </w:rPr>
      </w:pPr>
      <w:r w:rsidRPr="004B2FF0">
        <w:rPr>
          <w:rFonts w:ascii="Aptos" w:eastAsia="Candara" w:hAnsi="Aptos" w:cs="Candara"/>
        </w:rPr>
        <w:t xml:space="preserve"> </w:t>
      </w:r>
    </w:p>
    <w:p w14:paraId="32BECC08" w14:textId="77777777" w:rsidR="004B61BF" w:rsidRPr="004B2FF0" w:rsidRDefault="00620B44">
      <w:pPr>
        <w:pStyle w:val="Heading1"/>
        <w:ind w:left="-5"/>
        <w:rPr>
          <w:rFonts w:ascii="Aptos" w:hAnsi="Aptos"/>
        </w:rPr>
      </w:pPr>
      <w:r w:rsidRPr="004B2FF0">
        <w:rPr>
          <w:rFonts w:ascii="Aptos" w:hAnsi="Aptos"/>
        </w:rPr>
        <w:t>OPEN DISCUSSION</w:t>
      </w:r>
      <w:r w:rsidRPr="004B2FF0">
        <w:rPr>
          <w:rFonts w:ascii="Aptos" w:hAnsi="Aptos"/>
          <w:u w:val="none"/>
        </w:rPr>
        <w:t xml:space="preserve"> </w:t>
      </w:r>
    </w:p>
    <w:p w14:paraId="5CA62958" w14:textId="77777777" w:rsidR="004B61BF" w:rsidRPr="004B2FF0" w:rsidRDefault="00620B44">
      <w:pPr>
        <w:spacing w:after="0"/>
        <w:rPr>
          <w:rFonts w:ascii="Aptos" w:hAnsi="Aptos"/>
        </w:rPr>
      </w:pPr>
      <w:r w:rsidRPr="004B2FF0">
        <w:rPr>
          <w:rFonts w:ascii="Aptos" w:eastAsia="Candara" w:hAnsi="Aptos" w:cs="Candara"/>
          <w:b/>
        </w:rPr>
        <w:t xml:space="preserve"> </w:t>
      </w:r>
    </w:p>
    <w:p w14:paraId="03DCA5C5" w14:textId="737E0D70" w:rsidR="004B61BF" w:rsidRPr="004B2FF0" w:rsidRDefault="004B61BF">
      <w:pPr>
        <w:spacing w:after="0"/>
        <w:rPr>
          <w:rFonts w:ascii="Aptos" w:hAnsi="Aptos"/>
        </w:rPr>
      </w:pPr>
    </w:p>
    <w:p w14:paraId="45D66A96" w14:textId="5FC6A5D1" w:rsidR="00894A75" w:rsidRPr="004B2FF0" w:rsidRDefault="00894A75">
      <w:pPr>
        <w:spacing w:after="0"/>
        <w:rPr>
          <w:rFonts w:ascii="Aptos" w:hAnsi="Aptos"/>
        </w:rPr>
      </w:pPr>
      <w:r w:rsidRPr="004B2FF0">
        <w:rPr>
          <w:rFonts w:ascii="Aptos" w:hAnsi="Aptos"/>
          <w:noProof/>
        </w:rPr>
        <w:drawing>
          <wp:inline distT="0" distB="0" distL="0" distR="0" wp14:anchorId="6E3F619B" wp14:editId="67080792">
            <wp:extent cx="6429375" cy="101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840F" w14:textId="6CFDED84" w:rsidR="00894A75" w:rsidRPr="004B2FF0" w:rsidRDefault="00894A75">
      <w:pPr>
        <w:spacing w:after="0"/>
        <w:rPr>
          <w:rFonts w:ascii="Aptos" w:hAnsi="Aptos"/>
        </w:rPr>
      </w:pPr>
    </w:p>
    <w:p w14:paraId="648DD863" w14:textId="30B33C7C" w:rsidR="00894A75" w:rsidRPr="004B2FF0" w:rsidRDefault="00894A75">
      <w:pPr>
        <w:spacing w:after="0"/>
        <w:rPr>
          <w:rFonts w:ascii="Aptos" w:hAnsi="Aptos"/>
        </w:rPr>
      </w:pPr>
    </w:p>
    <w:p w14:paraId="521C6695" w14:textId="77777777" w:rsidR="004B2FF0" w:rsidRDefault="00620B44" w:rsidP="004B2FF0">
      <w:pPr>
        <w:spacing w:after="200"/>
        <w:ind w:left="240"/>
        <w:jc w:val="center"/>
        <w:rPr>
          <w:rFonts w:ascii="Aptos" w:hAnsi="Aptos"/>
        </w:rPr>
      </w:pPr>
      <w:r w:rsidRPr="004B2FF0">
        <w:rPr>
          <w:rFonts w:ascii="Aptos" w:eastAsia="Times New Roman" w:hAnsi="Aptos" w:cs="Times New Roman"/>
          <w:sz w:val="18"/>
        </w:rPr>
        <w:t xml:space="preserve">MITAC information can be found online at: </w:t>
      </w:r>
    </w:p>
    <w:p w14:paraId="4A853A23" w14:textId="7F51568A" w:rsidR="004B61BF" w:rsidRDefault="004B2FF0" w:rsidP="004B2FF0">
      <w:pPr>
        <w:spacing w:after="200"/>
        <w:ind w:left="240"/>
        <w:jc w:val="center"/>
        <w:rPr>
          <w:rFonts w:ascii="Aptos" w:hAnsi="Aptos"/>
        </w:rPr>
      </w:pPr>
      <w:hyperlink r:id="rId7" w:history="1">
        <w:r w:rsidRPr="004B2FF0">
          <w:rPr>
            <w:rStyle w:val="Hyperlink"/>
            <w:rFonts w:ascii="Aptos" w:hAnsi="Aptos"/>
            <w:color w:val="0070C0"/>
          </w:rPr>
          <w:t>https://oa.mo.gov/itsd/it</w:t>
        </w:r>
      </w:hyperlink>
      <w:hyperlink r:id="rId8">
        <w:r w:rsidR="00620B44" w:rsidRPr="004B2FF0">
          <w:rPr>
            <w:rFonts w:ascii="Aptos" w:hAnsi="Aptos"/>
            <w:color w:val="0070C0"/>
            <w:u w:val="single" w:color="0000FF"/>
          </w:rPr>
          <w:t>-</w:t>
        </w:r>
      </w:hyperlink>
      <w:hyperlink r:id="rId9">
        <w:r w:rsidR="00620B44" w:rsidRPr="004B2FF0">
          <w:rPr>
            <w:rFonts w:ascii="Aptos" w:hAnsi="Aptos"/>
            <w:color w:val="0070C0"/>
            <w:u w:val="single" w:color="0000FF"/>
          </w:rPr>
          <w:t>governance/missouri</w:t>
        </w:r>
      </w:hyperlink>
      <w:hyperlink r:id="rId10">
        <w:r w:rsidR="00620B44" w:rsidRPr="004B2FF0">
          <w:rPr>
            <w:rFonts w:ascii="Aptos" w:hAnsi="Aptos"/>
            <w:color w:val="0070C0"/>
            <w:u w:val="single" w:color="0000FF"/>
          </w:rPr>
          <w:t>-</w:t>
        </w:r>
      </w:hyperlink>
      <w:hyperlink r:id="rId11">
        <w:r w:rsidR="00620B44" w:rsidRPr="004B2FF0">
          <w:rPr>
            <w:rFonts w:ascii="Aptos" w:hAnsi="Aptos"/>
            <w:color w:val="0070C0"/>
            <w:u w:val="single" w:color="0000FF"/>
          </w:rPr>
          <w:t>information</w:t>
        </w:r>
      </w:hyperlink>
      <w:hyperlink r:id="rId12">
        <w:r w:rsidR="00620B44" w:rsidRPr="004B2FF0">
          <w:rPr>
            <w:rFonts w:ascii="Aptos" w:hAnsi="Aptos"/>
            <w:color w:val="0070C0"/>
            <w:u w:val="single" w:color="0000FF"/>
          </w:rPr>
          <w:t>-</w:t>
        </w:r>
      </w:hyperlink>
      <w:hyperlink r:id="rId13">
        <w:r w:rsidR="00620B44" w:rsidRPr="004B2FF0">
          <w:rPr>
            <w:rFonts w:ascii="Aptos" w:hAnsi="Aptos"/>
            <w:color w:val="0070C0"/>
            <w:u w:val="single" w:color="0000FF"/>
          </w:rPr>
          <w:t>technology</w:t>
        </w:r>
      </w:hyperlink>
      <w:hyperlink r:id="rId14">
        <w:r w:rsidR="00620B44" w:rsidRPr="004B2FF0">
          <w:rPr>
            <w:rFonts w:ascii="Aptos" w:hAnsi="Aptos"/>
            <w:color w:val="0070C0"/>
            <w:u w:val="single" w:color="0000FF"/>
          </w:rPr>
          <w:t>-</w:t>
        </w:r>
      </w:hyperlink>
      <w:hyperlink r:id="rId15">
        <w:r w:rsidR="00620B44" w:rsidRPr="004B2FF0">
          <w:rPr>
            <w:rFonts w:ascii="Aptos" w:hAnsi="Aptos"/>
            <w:color w:val="0070C0"/>
            <w:u w:val="single" w:color="0000FF"/>
          </w:rPr>
          <w:t>advisory</w:t>
        </w:r>
      </w:hyperlink>
      <w:hyperlink r:id="rId16">
        <w:r w:rsidR="00620B44" w:rsidRPr="004B2FF0">
          <w:rPr>
            <w:rFonts w:ascii="Aptos" w:hAnsi="Aptos"/>
            <w:color w:val="0070C0"/>
            <w:u w:val="single" w:color="0000FF"/>
          </w:rPr>
          <w:t>-</w:t>
        </w:r>
      </w:hyperlink>
      <w:hyperlink r:id="rId17">
        <w:r w:rsidR="00620B44" w:rsidRPr="004B2FF0">
          <w:rPr>
            <w:rFonts w:ascii="Aptos" w:hAnsi="Aptos"/>
            <w:color w:val="0070C0"/>
            <w:u w:val="single" w:color="0000FF"/>
          </w:rPr>
          <w:t>council</w:t>
        </w:r>
      </w:hyperlink>
      <w:hyperlink r:id="rId18">
        <w:r w:rsidR="00620B44" w:rsidRPr="004B2FF0">
          <w:rPr>
            <w:rFonts w:ascii="Aptos" w:hAnsi="Aptos"/>
            <w:color w:val="0070C0"/>
            <w:u w:val="single" w:color="0000FF"/>
          </w:rPr>
          <w:t>-</w:t>
        </w:r>
      </w:hyperlink>
      <w:hyperlink r:id="rId19">
        <w:r w:rsidR="00620B44" w:rsidRPr="004B2FF0">
          <w:rPr>
            <w:rFonts w:ascii="Aptos" w:hAnsi="Aptos"/>
            <w:color w:val="0070C0"/>
            <w:u w:val="single" w:color="0000FF"/>
          </w:rPr>
          <w:t>mitac</w:t>
        </w:r>
      </w:hyperlink>
      <w:hyperlink r:id="rId20">
        <w:r w:rsidR="00620B44" w:rsidRPr="004B2FF0">
          <w:rPr>
            <w:rFonts w:ascii="Aptos" w:hAnsi="Aptos"/>
            <w:color w:val="0000FF"/>
          </w:rPr>
          <w:t xml:space="preserve"> </w:t>
        </w:r>
      </w:hyperlink>
      <w:r w:rsidR="00620B44" w:rsidRPr="004B2FF0">
        <w:rPr>
          <w:rFonts w:ascii="Aptos" w:hAnsi="Aptos"/>
        </w:rPr>
        <w:t xml:space="preserve"> </w:t>
      </w:r>
    </w:p>
    <w:p w14:paraId="13B79E66" w14:textId="77777777" w:rsidR="004B2FF0" w:rsidRDefault="004B2FF0" w:rsidP="004B2FF0">
      <w:pPr>
        <w:spacing w:after="200"/>
        <w:ind w:left="240"/>
        <w:jc w:val="center"/>
        <w:rPr>
          <w:rFonts w:ascii="Aptos" w:hAnsi="Aptos"/>
        </w:rPr>
      </w:pPr>
    </w:p>
    <w:p w14:paraId="55758A22" w14:textId="38D9B397" w:rsidR="004B2FF0" w:rsidRPr="004B2FF0" w:rsidRDefault="004B2FF0" w:rsidP="004B2FF0">
      <w:pPr>
        <w:spacing w:after="200"/>
        <w:ind w:left="240"/>
        <w:jc w:val="center"/>
        <w:rPr>
          <w:rFonts w:ascii="Aptos" w:hAnsi="Aptos"/>
        </w:rPr>
      </w:pPr>
      <w:r>
        <w:rPr>
          <w:noProof/>
        </w:rPr>
        <w:drawing>
          <wp:inline distT="0" distB="0" distL="0" distR="0" wp14:anchorId="276B6F90" wp14:editId="328CBEE6">
            <wp:extent cx="5019675" cy="800632"/>
            <wp:effectExtent l="0" t="0" r="0" b="0"/>
            <wp:docPr id="367447062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47062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020" cy="80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FF0" w:rsidRPr="004B2FF0">
      <w:pgSz w:w="12240" w:h="15840"/>
      <w:pgMar w:top="360" w:right="1004" w:bottom="1440" w:left="1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18B"/>
    <w:multiLevelType w:val="hybridMultilevel"/>
    <w:tmpl w:val="72768A5E"/>
    <w:lvl w:ilvl="0" w:tplc="ACB8B556">
      <w:start w:val="1"/>
      <w:numFmt w:val="decimal"/>
      <w:lvlText w:val="%1."/>
      <w:lvlJc w:val="left"/>
      <w:pPr>
        <w:ind w:left="4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EA590">
      <w:start w:val="1"/>
      <w:numFmt w:val="lowerLetter"/>
      <w:lvlText w:val="%2"/>
      <w:lvlJc w:val="left"/>
      <w:pPr>
        <w:ind w:left="113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2FD40">
      <w:start w:val="1"/>
      <w:numFmt w:val="lowerRoman"/>
      <w:lvlText w:val="%3"/>
      <w:lvlJc w:val="left"/>
      <w:pPr>
        <w:ind w:left="185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64F94">
      <w:start w:val="1"/>
      <w:numFmt w:val="decimal"/>
      <w:lvlText w:val="%4"/>
      <w:lvlJc w:val="left"/>
      <w:pPr>
        <w:ind w:left="257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4BD76">
      <w:start w:val="1"/>
      <w:numFmt w:val="lowerLetter"/>
      <w:lvlText w:val="%5"/>
      <w:lvlJc w:val="left"/>
      <w:pPr>
        <w:ind w:left="329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86277A">
      <w:start w:val="1"/>
      <w:numFmt w:val="lowerRoman"/>
      <w:lvlText w:val="%6"/>
      <w:lvlJc w:val="left"/>
      <w:pPr>
        <w:ind w:left="401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C9878">
      <w:start w:val="1"/>
      <w:numFmt w:val="decimal"/>
      <w:lvlText w:val="%7"/>
      <w:lvlJc w:val="left"/>
      <w:pPr>
        <w:ind w:left="473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39A0">
      <w:start w:val="1"/>
      <w:numFmt w:val="lowerLetter"/>
      <w:lvlText w:val="%8"/>
      <w:lvlJc w:val="left"/>
      <w:pPr>
        <w:ind w:left="545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66DC80">
      <w:start w:val="1"/>
      <w:numFmt w:val="lowerRoman"/>
      <w:lvlText w:val="%9"/>
      <w:lvlJc w:val="left"/>
      <w:pPr>
        <w:ind w:left="617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324926"/>
    <w:multiLevelType w:val="hybridMultilevel"/>
    <w:tmpl w:val="0714DE60"/>
    <w:lvl w:ilvl="0" w:tplc="C57A7B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819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066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699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63E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E5E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A9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CA78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822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8724879">
    <w:abstractNumId w:val="0"/>
  </w:num>
  <w:num w:numId="2" w16cid:durableId="195751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BF"/>
    <w:rsid w:val="00034092"/>
    <w:rsid w:val="0005522F"/>
    <w:rsid w:val="00095F83"/>
    <w:rsid w:val="001D719D"/>
    <w:rsid w:val="004677DB"/>
    <w:rsid w:val="004B2FF0"/>
    <w:rsid w:val="004B61BF"/>
    <w:rsid w:val="00620B44"/>
    <w:rsid w:val="00894A75"/>
    <w:rsid w:val="00B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F95F"/>
  <w15:docId w15:val="{F805B32D-19D2-43EB-9991-EBB7AD11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hanging="10"/>
      <w:outlineLvl w:val="0"/>
    </w:pPr>
    <w:rPr>
      <w:rFonts w:ascii="Candara" w:eastAsia="Candara" w:hAnsi="Candara" w:cs="Candar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894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.mo.gov/itsd/it-governance/missouri-information-technology-advisory-council-mitac" TargetMode="External"/><Relationship Id="rId13" Type="http://schemas.openxmlformats.org/officeDocument/2006/relationships/hyperlink" Target="https://oa.mo.gov/itsd/it-governance/missouri-information-technology-advisory-council-mitac" TargetMode="External"/><Relationship Id="rId18" Type="http://schemas.openxmlformats.org/officeDocument/2006/relationships/hyperlink" Target="https://oa.mo.gov/itsd/it-governance/missouri-information-technology-advisory-council-mitac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oa.mo.gov/itsd/it" TargetMode="External"/><Relationship Id="rId12" Type="http://schemas.openxmlformats.org/officeDocument/2006/relationships/hyperlink" Target="https://oa.mo.gov/itsd/it-governance/missouri-information-technology-advisory-council-mitac" TargetMode="External"/><Relationship Id="rId17" Type="http://schemas.openxmlformats.org/officeDocument/2006/relationships/hyperlink" Target="https://oa.mo.gov/itsd/it-governance/missouri-information-technology-advisory-council-mit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.mo.gov/itsd/it-governance/missouri-information-technology-advisory-council-mitac" TargetMode="External"/><Relationship Id="rId20" Type="http://schemas.openxmlformats.org/officeDocument/2006/relationships/hyperlink" Target="https://oa.mo.gov/itsd/it-governance/missouri-information-technology-advisory-council-mita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oa.mo.gov/itsd/it-governance/missouri-information-technology-advisory-council-mita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a.mo.gov/itsd/it-governance/missouri-information-technology-advisory-council-mit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a.mo.gov/itsd/it-governance/missouri-information-technology-advisory-council-mitac" TargetMode="External"/><Relationship Id="rId19" Type="http://schemas.openxmlformats.org/officeDocument/2006/relationships/hyperlink" Target="https://oa.mo.gov/itsd/it-governance/missouri-information-technology-advisory-council-mit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a.mo.gov/itsd/it-governance/missouri-information-technology-advisory-council-mitac" TargetMode="External"/><Relationship Id="rId14" Type="http://schemas.openxmlformats.org/officeDocument/2006/relationships/hyperlink" Target="https://oa.mo.gov/itsd/it-governance/missouri-information-technology-advisory-council-mit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Angel</dc:creator>
  <cp:keywords/>
  <cp:lastModifiedBy>Stieferman, Lucas</cp:lastModifiedBy>
  <cp:revision>2</cp:revision>
  <cp:lastPrinted>2025-11-03T13:23:00Z</cp:lastPrinted>
  <dcterms:created xsi:type="dcterms:W3CDTF">2025-11-18T13:39:00Z</dcterms:created>
  <dcterms:modified xsi:type="dcterms:W3CDTF">2025-11-18T13:39:00Z</dcterms:modified>
</cp:coreProperties>
</file>